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999999999998" w:type="dxa"/>
        <w:jc w:val="center"/>
        <w:tblLayout w:type="fixed"/>
        <w:tblLook w:val="0000"/>
      </w:tblPr>
      <w:tblGrid>
        <w:gridCol w:w="2164"/>
        <w:gridCol w:w="2810"/>
        <w:gridCol w:w="5348"/>
        <w:tblGridChange w:id="0">
          <w:tblGrid>
            <w:gridCol w:w="2164"/>
            <w:gridCol w:w="2810"/>
            <w:gridCol w:w="5348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INFRAESTRUCTURA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como profesional especializado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067-2025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LUIS FERNNADO MOLINA ROSERO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1.143.990.693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12.014.000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.97656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2.960.000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1077638407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1972457583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17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582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actividades de caracterización de la dinámica ciudadana en torno al deporte, la recreación y la actividad física.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3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Realizar informes estadísticos, definición de variables e indicadores en las actividades e investigaciones integradas en el Observatorio del Deporte.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Adelantar la articulación de conocimiento con entidades de la administración distrital y organizaciones del sector.</w:t>
            </w:r>
          </w:p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Aportar y actualizar datos y cifras de satisfacción de los participantes de los servicios de la secretaría</w:t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que le sean asignadas en desarrollo del objeto contractual.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Brindé apoyo en el análisis de la actividad realizada para la estimación aproximada de participantes en la ciclovida, contribuyendo al proceso de conteo y a la caracterización de la dinámica ciudadana vinculada al deporte, la recreación y la actividad física. (Ver Anexo 1.1)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2.Participé activamente en la mesa interdisciplinaria de escenarios deportivos, aportando análisis y conceptos técnicos derivados de su experiencia en el sector, con el fin de fortalecer la definición de variables requeridos para la elaboración de informes estadísticos y procesos investigativos integrados al Observatorio del Deporte. (Ver Anexo 2.1)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3.1Participé en las sesiones del Consejo Asesor del Deporte, aportando al proceso de articulación de conocimiento entre las entidades de la administración distrital y las organizaciones del sector, fortaleciendo la integración técnica y la coordinación interinstitucional. (Ver Anexo 3.1)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 Participé en la atención y orientación de los estudiantes visitantes de la Universidad de Bogotá, socializando aspectos relacionados con la administración de escenarios deportivos y acompañando el recorrido por algunos de los escenarios del Distrito, contribuyendo así a la articulación de conocimiento entre la administración distrital y las organizaciones del sector académico.</w:t>
            </w:r>
          </w:p>
          <w:p w:rsidR="00000000" w:rsidDel="00000000" w:rsidP="00000000" w:rsidRDefault="00000000" w:rsidRPr="00000000" w14:paraId="0000007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Apoyó la consolidación de los beneficiarios de los diferentes programas que tiene la Subsecretaría de Fomento en la Comuna 19 y corregimiento Buitrera, como insumo requerido para el diagnóstico de la comuna, a partir de la información registrada en el SIDER. (Ver Anexo 4.1)</w:t>
            </w:r>
          </w:p>
          <w:p w:rsidR="00000000" w:rsidDel="00000000" w:rsidP="00000000" w:rsidRDefault="00000000" w:rsidRPr="00000000" w14:paraId="0000007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5.1 Participé en mesa de trabajo con el equipo del ODRAF en el que se planea, revisa y ajusta el plan de trabajo establecido. (Ver Anexo 5.1)</w:t>
            </w:r>
          </w:p>
          <w:p w:rsidR="00000000" w:rsidDel="00000000" w:rsidP="00000000" w:rsidRDefault="00000000" w:rsidRPr="00000000" w14:paraId="0000007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5.2 Participé en la jornada de capacitación convocada por la Alcaldía de Santiago de Cali, fortaleciendo sus competencias técnicas y contribuyendo al adecuado desarrollo de las funciones asignadas en el marco del objeto contractual. (Ver Anexo 5.2)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 </w:t>
            </w:r>
          </w:p>
          <w:p w:rsidR="00000000" w:rsidDel="00000000" w:rsidP="00000000" w:rsidRDefault="00000000" w:rsidRPr="00000000" w14:paraId="00000083">
            <w:pPr>
              <w:tabs>
                <w:tab w:val="left" w:leader="none" w:pos="793"/>
              </w:tabs>
              <w:spacing w:before="1" w:lineRule="auto"/>
              <w:ind w:right="66"/>
              <w:jc w:val="both"/>
              <w:rPr>
                <w:rFonts w:ascii="Arial" w:cs="Arial" w:eastAsia="Arial" w:hAnsi="Arial"/>
              </w:rPr>
            </w:pPr>
            <w:bookmarkStart w:colFirst="0" w:colLast="0" w:name="_heading=h.5saghzo6avx3" w:id="0"/>
            <w:bookmarkEnd w:id="0"/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https://drive.google.com/drive/folders/14zetOj8-4DSWfXF3x2h_1rAxBEeh_vnR?usp=drive_link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540570" cy="794108"/>
                  <wp:effectExtent b="0" l="0" r="0" t="0"/>
                  <wp:docPr id="46709987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570" cy="79410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567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32" w:hanging="360"/>
      </w:pPr>
      <w:rPr/>
    </w:lvl>
    <w:lvl w:ilvl="1">
      <w:start w:val="1"/>
      <w:numFmt w:val="lowerLetter"/>
      <w:lvlText w:val="%2."/>
      <w:lvlJc w:val="left"/>
      <w:pPr>
        <w:ind w:left="1152" w:hanging="360"/>
      </w:pPr>
      <w:rPr/>
    </w:lvl>
    <w:lvl w:ilvl="2">
      <w:start w:val="1"/>
      <w:numFmt w:val="lowerRoman"/>
      <w:lvlText w:val="%3."/>
      <w:lvlJc w:val="right"/>
      <w:pPr>
        <w:ind w:left="1872" w:hanging="180"/>
      </w:pPr>
      <w:rPr/>
    </w:lvl>
    <w:lvl w:ilvl="3">
      <w:start w:val="1"/>
      <w:numFmt w:val="decimal"/>
      <w:lvlText w:val="%4."/>
      <w:lvlJc w:val="left"/>
      <w:pPr>
        <w:ind w:left="2592" w:hanging="360"/>
      </w:pPr>
      <w:rPr/>
    </w:lvl>
    <w:lvl w:ilvl="4">
      <w:start w:val="1"/>
      <w:numFmt w:val="lowerLetter"/>
      <w:lvlText w:val="%5."/>
      <w:lvlJc w:val="left"/>
      <w:pPr>
        <w:ind w:left="3312" w:hanging="360"/>
      </w:pPr>
      <w:rPr/>
    </w:lvl>
    <w:lvl w:ilvl="5">
      <w:start w:val="1"/>
      <w:numFmt w:val="lowerRoman"/>
      <w:lvlText w:val="%6."/>
      <w:lvlJc w:val="right"/>
      <w:pPr>
        <w:ind w:left="4032" w:hanging="180"/>
      </w:pPr>
      <w:rPr/>
    </w:lvl>
    <w:lvl w:ilvl="6">
      <w:start w:val="1"/>
      <w:numFmt w:val="decimal"/>
      <w:lvlText w:val="%7."/>
      <w:lvlJc w:val="left"/>
      <w:pPr>
        <w:ind w:left="4752" w:hanging="360"/>
      </w:pPr>
      <w:rPr/>
    </w:lvl>
    <w:lvl w:ilvl="7">
      <w:start w:val="1"/>
      <w:numFmt w:val="lowerLetter"/>
      <w:lvlText w:val="%8."/>
      <w:lvlJc w:val="left"/>
      <w:pPr>
        <w:ind w:left="5472" w:hanging="360"/>
      </w:pPr>
      <w:rPr/>
    </w:lvl>
    <w:lvl w:ilvl="8">
      <w:start w:val="1"/>
      <w:numFmt w:val="lowerRoman"/>
      <w:lvlText w:val="%9."/>
      <w:lvlJc w:val="right"/>
      <w:pPr>
        <w:ind w:left="619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p1" w:customStyle="1">
    <w:name w:val="p1"/>
    <w:basedOn w:val="Normal"/>
    <w:rsid w:val="00AE652E"/>
    <w:pPr>
      <w:widowControl w:val="1"/>
      <w:suppressAutoHyphens w:val="0"/>
      <w:textAlignment w:val="auto"/>
    </w:pPr>
    <w:rPr>
      <w:rFonts w:ascii="Arial" w:cs="Arial" w:eastAsia="Times New Roman" w:hAnsi="Arial"/>
      <w:color w:val="000000"/>
      <w:kern w:val="0"/>
      <w:sz w:val="18"/>
      <w:szCs w:val="18"/>
      <w:lang w:bidi="ar-SA" w:eastAsia="es-MX"/>
    </w:rPr>
  </w:style>
  <w:style w:type="character" w:styleId="Hipervnculo">
    <w:name w:val="Hyperlink"/>
    <w:basedOn w:val="Fuentedeprrafopredeter"/>
    <w:uiPriority w:val="99"/>
    <w:unhideWhenUsed w:val="1"/>
    <w:rsid w:val="00E030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0302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4zetOj8-4DSWfXF3x2h_1rAxBEeh_vnR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EetpecG0Ja8YeXTjCYVt4fuCnA==">CgMxLjAyDmguNXNhZ2h6bzZhdngzOAByITFHcmh4RkkwNG5CUzJTQXlRYS1NLWRXMGFEbEYzYUVrUA==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